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5"/>
        <w:ind w:left="2000" w:right="2023"/>
        <w:jc w:val="center"/>
      </w:pPr>
      <w:r>
        <w:rPr/>
        <w:t>BEFORE</w:t>
      </w:r>
    </w:p>
    <w:p>
      <w:pPr>
        <w:spacing w:before="0"/>
        <w:ind w:left="2000" w:right="2025" w:firstLine="0"/>
        <w:jc w:val="center"/>
        <w:rPr>
          <w:b/>
          <w:sz w:val="24"/>
        </w:rPr>
      </w:pPr>
      <w:r>
        <w:rPr>
          <w:b/>
          <w:sz w:val="24"/>
        </w:rPr>
        <w:t>THE PUBLIC UTILITIES COMMISSION OF OHIO</w:t>
      </w:r>
    </w:p>
    <w:p>
      <w:pPr>
        <w:pStyle w:val="BodyText"/>
        <w:rPr>
          <w:b/>
          <w:sz w:val="20"/>
        </w:rPr>
      </w:pPr>
    </w:p>
    <w:p>
      <w:pPr>
        <w:pStyle w:val="BodyText"/>
        <w:spacing w:before="7"/>
        <w:rPr>
          <w:b/>
          <w:sz w:val="16"/>
        </w:rPr>
      </w:pPr>
    </w:p>
    <w:p>
      <w:pPr>
        <w:spacing w:after="0"/>
        <w:rPr>
          <w:sz w:val="16"/>
        </w:rPr>
        <w:sectPr>
          <w:footerReference w:type="default" r:id="rId5"/>
          <w:type w:val="continuous"/>
          <w:pgSz w:w="12240" w:h="15840"/>
          <w:pgMar w:footer="791" w:top="1220" w:bottom="980" w:left="1340" w:right="1280"/>
          <w:pgNumType w:start="1"/>
        </w:sectPr>
      </w:pPr>
    </w:p>
    <w:p>
      <w:pPr>
        <w:pStyle w:val="BodyText"/>
        <w:tabs>
          <w:tab w:pos="4887" w:val="left" w:leader="none"/>
        </w:tabs>
        <w:spacing w:before="90"/>
        <w:ind w:left="207" w:right="38"/>
        <w:jc w:val="both"/>
      </w:pPr>
      <w:r>
        <w:rPr/>
        <w:t>In the Matter of the Application</w:t>
      </w:r>
      <w:r>
        <w:rPr>
          <w:spacing w:val="-9"/>
        </w:rPr>
        <w:t> </w:t>
      </w:r>
      <w:r>
        <w:rPr/>
        <w:t>of</w:t>
      </w:r>
      <w:r>
        <w:rPr>
          <w:spacing w:val="-1"/>
        </w:rPr>
        <w:t> </w:t>
      </w:r>
      <w:r>
        <w:rPr/>
        <w:t>Duke</w:t>
        <w:tab/>
      </w:r>
      <w:r>
        <w:rPr>
          <w:spacing w:val="-18"/>
        </w:rPr>
        <w:t>) </w:t>
      </w:r>
      <w:r>
        <w:rPr/>
        <w:t>Energy Ohio, Inc., for an Increase in Natural ) Gas</w:t>
      </w:r>
      <w:r>
        <w:rPr>
          <w:spacing w:val="-2"/>
        </w:rPr>
        <w:t> </w:t>
      </w:r>
      <w:r>
        <w:rPr/>
        <w:t>Rates.</w:t>
        <w:tab/>
      </w:r>
      <w:r>
        <w:rPr>
          <w:spacing w:val="-18"/>
        </w:rPr>
        <w:t>)</w:t>
      </w:r>
    </w:p>
    <w:p>
      <w:pPr>
        <w:pStyle w:val="BodyText"/>
        <w:spacing w:before="10"/>
        <w:rPr>
          <w:sz w:val="31"/>
        </w:rPr>
      </w:pPr>
      <w:r>
        <w:rPr/>
        <w:br w:type="column"/>
      </w:r>
      <w:r>
        <w:rPr>
          <w:sz w:val="31"/>
        </w:rPr>
      </w:r>
    </w:p>
    <w:p>
      <w:pPr>
        <w:pStyle w:val="BodyText"/>
        <w:ind w:left="207"/>
      </w:pPr>
      <w:r>
        <w:rPr/>
        <w:t>Case No. 22-507-GA-AIR</w:t>
      </w:r>
    </w:p>
    <w:p>
      <w:pPr>
        <w:spacing w:after="0"/>
        <w:sectPr>
          <w:type w:val="continuous"/>
          <w:pgSz w:w="12240" w:h="15840"/>
          <w:pgMar w:top="1220" w:bottom="980" w:left="1340" w:right="1280"/>
          <w:cols w:num="2" w:equalWidth="0">
            <w:col w:w="5008" w:space="382"/>
            <w:col w:w="4230"/>
          </w:cols>
        </w:sectPr>
      </w:pPr>
    </w:p>
    <w:p>
      <w:pPr>
        <w:pStyle w:val="BodyText"/>
        <w:spacing w:before="2"/>
        <w:rPr>
          <w:sz w:val="16"/>
        </w:rPr>
      </w:pPr>
    </w:p>
    <w:p>
      <w:pPr>
        <w:spacing w:after="0"/>
        <w:rPr>
          <w:sz w:val="16"/>
        </w:rPr>
        <w:sectPr>
          <w:type w:val="continuous"/>
          <w:pgSz w:w="12240" w:h="15840"/>
          <w:pgMar w:top="1220" w:bottom="980" w:left="1340" w:right="1280"/>
        </w:sectPr>
      </w:pPr>
    </w:p>
    <w:p>
      <w:pPr>
        <w:pStyle w:val="BodyText"/>
        <w:spacing w:before="90"/>
        <w:ind w:left="207" w:right="21"/>
      </w:pPr>
      <w:r>
        <w:rPr/>
        <w:t>In the Matter of the Application of Duke Energy Ohio, Inc., for Approval of an Alternative Form of Regulation.</w:t>
      </w:r>
    </w:p>
    <w:p>
      <w:pPr>
        <w:spacing w:before="90"/>
        <w:ind w:left="207" w:right="0" w:firstLine="0"/>
        <w:jc w:val="left"/>
        <w:rPr>
          <w:sz w:val="24"/>
        </w:rPr>
      </w:pPr>
      <w:r>
        <w:rPr/>
        <w:br w:type="column"/>
      </w:r>
      <w:r>
        <w:rPr>
          <w:sz w:val="24"/>
        </w:rPr>
        <w:t>)</w:t>
      </w:r>
    </w:p>
    <w:p>
      <w:pPr>
        <w:pStyle w:val="BodyText"/>
        <w:tabs>
          <w:tab w:pos="918" w:val="left" w:leader="none"/>
        </w:tabs>
        <w:ind w:left="207"/>
      </w:pPr>
      <w:r>
        <w:rPr/>
        <w:t>)</w:t>
        <w:tab/>
        <w:t>Case No.</w:t>
      </w:r>
      <w:r>
        <w:rPr>
          <w:spacing w:val="-3"/>
        </w:rPr>
        <w:t> </w:t>
      </w:r>
      <w:r>
        <w:rPr/>
        <w:t>22-508-GA-ALT</w:t>
      </w:r>
    </w:p>
    <w:p>
      <w:pPr>
        <w:pStyle w:val="BodyText"/>
        <w:ind w:left="207"/>
      </w:pPr>
      <w:r>
        <w:rPr>
          <w:w w:val="99"/>
        </w:rPr>
        <w:t>)</w:t>
      </w:r>
    </w:p>
    <w:p>
      <w:pPr>
        <w:spacing w:after="0"/>
        <w:sectPr>
          <w:type w:val="continuous"/>
          <w:pgSz w:w="12240" w:h="15840"/>
          <w:pgMar w:top="1220" w:bottom="980" w:left="1340" w:right="1280"/>
          <w:cols w:num="2" w:equalWidth="0">
            <w:col w:w="4147" w:space="533"/>
            <w:col w:w="4940"/>
          </w:cols>
        </w:sectPr>
      </w:pPr>
    </w:p>
    <w:p>
      <w:pPr>
        <w:pStyle w:val="BodyText"/>
        <w:spacing w:before="2"/>
        <w:rPr>
          <w:sz w:val="16"/>
        </w:rPr>
      </w:pPr>
    </w:p>
    <w:p>
      <w:pPr>
        <w:spacing w:after="0"/>
        <w:rPr>
          <w:sz w:val="16"/>
        </w:rPr>
        <w:sectPr>
          <w:type w:val="continuous"/>
          <w:pgSz w:w="12240" w:h="15840"/>
          <w:pgMar w:top="1220" w:bottom="980" w:left="1340" w:right="1280"/>
        </w:sectPr>
      </w:pPr>
    </w:p>
    <w:p>
      <w:pPr>
        <w:pStyle w:val="BodyText"/>
        <w:spacing w:before="90"/>
        <w:ind w:left="207" w:right="21"/>
      </w:pPr>
      <w:r>
        <w:rPr/>
        <w:t>In the Matter of the Application of Duke Energy Ohio, Inc., for Tariff Approval.</w:t>
      </w:r>
    </w:p>
    <w:p>
      <w:pPr>
        <w:spacing w:before="90"/>
        <w:ind w:left="207" w:right="0" w:firstLine="0"/>
        <w:jc w:val="left"/>
        <w:rPr>
          <w:sz w:val="24"/>
        </w:rPr>
      </w:pPr>
      <w:r>
        <w:rPr/>
        <w:br w:type="column"/>
      </w:r>
      <w:r>
        <w:rPr>
          <w:sz w:val="24"/>
        </w:rPr>
        <w:t>)</w:t>
      </w:r>
    </w:p>
    <w:p>
      <w:pPr>
        <w:pStyle w:val="BodyText"/>
        <w:tabs>
          <w:tab w:pos="918" w:val="left" w:leader="none"/>
        </w:tabs>
        <w:spacing w:before="1"/>
        <w:ind w:left="207"/>
      </w:pPr>
      <w:r>
        <w:rPr/>
        <w:t>)</w:t>
        <w:tab/>
        <w:t>Case No.</w:t>
      </w:r>
      <w:r>
        <w:rPr>
          <w:spacing w:val="-3"/>
        </w:rPr>
        <w:t> </w:t>
      </w:r>
      <w:r>
        <w:rPr/>
        <w:t>22-509-GA-ATA</w:t>
      </w:r>
    </w:p>
    <w:p>
      <w:pPr>
        <w:spacing w:after="0"/>
        <w:sectPr>
          <w:type w:val="continuous"/>
          <w:pgSz w:w="12240" w:h="15840"/>
          <w:pgMar w:top="1220" w:bottom="980" w:left="1340" w:right="1280"/>
          <w:cols w:num="2" w:equalWidth="0">
            <w:col w:w="4147" w:space="533"/>
            <w:col w:w="4940"/>
          </w:cols>
        </w:sectPr>
      </w:pPr>
    </w:p>
    <w:p>
      <w:pPr>
        <w:pStyle w:val="BodyText"/>
        <w:spacing w:before="2"/>
        <w:rPr>
          <w:sz w:val="16"/>
        </w:rPr>
      </w:pPr>
    </w:p>
    <w:p>
      <w:pPr>
        <w:spacing w:after="0"/>
        <w:rPr>
          <w:sz w:val="16"/>
        </w:rPr>
        <w:sectPr>
          <w:type w:val="continuous"/>
          <w:pgSz w:w="12240" w:h="15840"/>
          <w:pgMar w:top="1220" w:bottom="980" w:left="1340" w:right="1280"/>
        </w:sectPr>
      </w:pPr>
    </w:p>
    <w:p>
      <w:pPr>
        <w:pStyle w:val="BodyText"/>
        <w:tabs>
          <w:tab w:pos="4887" w:val="left" w:leader="none"/>
        </w:tabs>
        <w:spacing w:before="90"/>
        <w:ind w:left="207" w:right="38"/>
        <w:jc w:val="both"/>
      </w:pPr>
      <w:r>
        <w:rPr/>
        <w:t>In the Matter of the Application</w:t>
      </w:r>
      <w:r>
        <w:rPr>
          <w:spacing w:val="-9"/>
        </w:rPr>
        <w:t> </w:t>
      </w:r>
      <w:r>
        <w:rPr/>
        <w:t>of</w:t>
      </w:r>
      <w:r>
        <w:rPr>
          <w:spacing w:val="-1"/>
        </w:rPr>
        <w:t> </w:t>
      </w:r>
      <w:r>
        <w:rPr/>
        <w:t>Duke</w:t>
        <w:tab/>
      </w:r>
      <w:r>
        <w:rPr>
          <w:spacing w:val="-18"/>
        </w:rPr>
        <w:t>) </w:t>
      </w:r>
      <w:r>
        <w:rPr/>
        <w:t>Energy Ohio, Inc., for Approval To Change ) Accounting</w:t>
      </w:r>
      <w:r>
        <w:rPr>
          <w:spacing w:val="-4"/>
        </w:rPr>
        <w:t> </w:t>
      </w:r>
      <w:r>
        <w:rPr/>
        <w:t>Methods.</w:t>
        <w:tab/>
      </w:r>
      <w:r>
        <w:rPr>
          <w:spacing w:val="-18"/>
        </w:rPr>
        <w:t>)</w:t>
      </w:r>
    </w:p>
    <w:p>
      <w:pPr>
        <w:pStyle w:val="BodyText"/>
        <w:spacing w:before="9"/>
        <w:rPr>
          <w:sz w:val="31"/>
        </w:rPr>
      </w:pPr>
      <w:r>
        <w:rPr/>
        <w:br w:type="column"/>
      </w:r>
      <w:r>
        <w:rPr>
          <w:sz w:val="31"/>
        </w:rPr>
      </w:r>
    </w:p>
    <w:p>
      <w:pPr>
        <w:pStyle w:val="BodyText"/>
        <w:ind w:left="207"/>
      </w:pPr>
      <w:r>
        <w:rPr/>
        <w:t>Case No. 22-510-GA-AAM</w:t>
      </w:r>
    </w:p>
    <w:p>
      <w:pPr>
        <w:spacing w:after="0"/>
        <w:sectPr>
          <w:type w:val="continuous"/>
          <w:pgSz w:w="12240" w:h="15840"/>
          <w:pgMar w:top="1220" w:bottom="980" w:left="1340" w:right="1280"/>
          <w:cols w:num="2" w:equalWidth="0">
            <w:col w:w="5008" w:space="382"/>
            <w:col w:w="4230"/>
          </w:cols>
        </w:sectPr>
      </w:pPr>
    </w:p>
    <w:p>
      <w:pPr>
        <w:pStyle w:val="BodyText"/>
        <w:rPr>
          <w:sz w:val="20"/>
        </w:rPr>
      </w:pPr>
    </w:p>
    <w:p>
      <w:pPr>
        <w:pStyle w:val="BodyText"/>
        <w:spacing w:before="6"/>
        <w:rPr>
          <w:sz w:val="20"/>
        </w:rPr>
      </w:pPr>
    </w:p>
    <w:p>
      <w:pPr>
        <w:pStyle w:val="Heading1"/>
        <w:spacing w:before="90"/>
        <w:ind w:left="3337"/>
      </w:pPr>
      <w:r>
        <w:rPr/>
        <w:t>MOTION TO INTERVENE</w:t>
      </w:r>
    </w:p>
    <w:p>
      <w:pPr>
        <w:spacing w:before="0"/>
        <w:ind w:left="2144" w:right="2148" w:firstLine="465"/>
        <w:jc w:val="left"/>
        <w:rPr>
          <w:b/>
          <w:sz w:val="24"/>
        </w:rPr>
      </w:pPr>
      <w:r>
        <w:rPr>
          <w:b/>
          <w:sz w:val="24"/>
        </w:rPr>
        <w:t>AND MEMORANDUM IN SUPPORT OF </w:t>
      </w:r>
      <w:r>
        <w:rPr>
          <w:b/>
          <w:sz w:val="24"/>
          <w:u w:val="thick"/>
        </w:rPr>
        <w:t>THE RETAIL ENERGY SUPPLY ASSOCIATION</w:t>
      </w:r>
    </w:p>
    <w:p>
      <w:pPr>
        <w:pStyle w:val="BodyText"/>
        <w:spacing w:before="3"/>
        <w:rPr>
          <w:b/>
        </w:rPr>
      </w:pPr>
    </w:p>
    <w:p>
      <w:pPr>
        <w:pStyle w:val="BodyText"/>
        <w:spacing w:line="484" w:lineRule="auto"/>
        <w:ind w:left="100" w:right="119" w:firstLine="720"/>
        <w:jc w:val="both"/>
      </w:pPr>
      <w:r>
        <w:rPr/>
        <w:t>The</w:t>
      </w:r>
      <w:r>
        <w:rPr>
          <w:spacing w:val="-9"/>
        </w:rPr>
        <w:t> </w:t>
      </w:r>
      <w:r>
        <w:rPr/>
        <w:t>Retail</w:t>
      </w:r>
      <w:r>
        <w:rPr>
          <w:spacing w:val="-5"/>
        </w:rPr>
        <w:t> </w:t>
      </w:r>
      <w:r>
        <w:rPr/>
        <w:t>Energy</w:t>
      </w:r>
      <w:r>
        <w:rPr>
          <w:spacing w:val="-11"/>
        </w:rPr>
        <w:t> </w:t>
      </w:r>
      <w:r>
        <w:rPr/>
        <w:t>Supply</w:t>
      </w:r>
      <w:r>
        <w:rPr>
          <w:spacing w:val="-9"/>
        </w:rPr>
        <w:t> </w:t>
      </w:r>
      <w:r>
        <w:rPr/>
        <w:t>Association</w:t>
      </w:r>
      <w:r>
        <w:rPr>
          <w:spacing w:val="-7"/>
        </w:rPr>
        <w:t> </w:t>
      </w:r>
      <w:r>
        <w:rPr/>
        <w:t>(“RESA”),</w:t>
      </w:r>
      <w:r>
        <w:rPr>
          <w:rFonts w:ascii="Calisto MT" w:hAnsi="Calisto MT"/>
          <w:position w:val="9"/>
          <w:sz w:val="16"/>
        </w:rPr>
        <w:t>1</w:t>
      </w:r>
      <w:r>
        <w:rPr>
          <w:rFonts w:ascii="Calisto MT" w:hAnsi="Calisto MT"/>
          <w:spacing w:val="13"/>
          <w:position w:val="9"/>
          <w:sz w:val="16"/>
        </w:rPr>
        <w:t> </w:t>
      </w:r>
      <w:r>
        <w:rPr/>
        <w:t>pursuant</w:t>
      </w:r>
      <w:r>
        <w:rPr>
          <w:spacing w:val="-6"/>
        </w:rPr>
        <w:t> </w:t>
      </w:r>
      <w:r>
        <w:rPr/>
        <w:t>to</w:t>
      </w:r>
      <w:r>
        <w:rPr>
          <w:spacing w:val="-6"/>
        </w:rPr>
        <w:t> </w:t>
      </w:r>
      <w:r>
        <w:rPr/>
        <w:t>Ohio</w:t>
      </w:r>
      <w:r>
        <w:rPr>
          <w:spacing w:val="-6"/>
        </w:rPr>
        <w:t> </w:t>
      </w:r>
      <w:r>
        <w:rPr/>
        <w:t>Revised</w:t>
      </w:r>
      <w:r>
        <w:rPr>
          <w:spacing w:val="-7"/>
        </w:rPr>
        <w:t> </w:t>
      </w:r>
      <w:r>
        <w:rPr/>
        <w:t>Code</w:t>
      </w:r>
      <w:r>
        <w:rPr>
          <w:spacing w:val="-7"/>
        </w:rPr>
        <w:t> </w:t>
      </w:r>
      <w:r>
        <w:rPr/>
        <w:t>Section (“R.C.”) 4903.221 and Ohio Administrative Code (“Rule”) 4901-1-11, moves to intervene in the above-styled proceedings as a full party of record. The reasons supporting this request for intervention are contained in the accompanying Memorandum in Support. RESA respectfully requests</w:t>
      </w:r>
      <w:r>
        <w:rPr>
          <w:spacing w:val="-4"/>
        </w:rPr>
        <w:t> </w:t>
      </w:r>
      <w:r>
        <w:rPr/>
        <w:t>that</w:t>
      </w:r>
      <w:r>
        <w:rPr>
          <w:spacing w:val="-4"/>
        </w:rPr>
        <w:t> </w:t>
      </w:r>
      <w:r>
        <w:rPr/>
        <w:t>the</w:t>
      </w:r>
      <w:r>
        <w:rPr>
          <w:spacing w:val="-6"/>
        </w:rPr>
        <w:t> </w:t>
      </w:r>
      <w:r>
        <w:rPr/>
        <w:t>Commission</w:t>
      </w:r>
      <w:r>
        <w:rPr>
          <w:spacing w:val="-5"/>
        </w:rPr>
        <w:t> </w:t>
      </w:r>
      <w:r>
        <w:rPr/>
        <w:t>grant</w:t>
      </w:r>
      <w:r>
        <w:rPr>
          <w:spacing w:val="-4"/>
        </w:rPr>
        <w:t> </w:t>
      </w:r>
      <w:r>
        <w:rPr/>
        <w:t>this</w:t>
      </w:r>
      <w:r>
        <w:rPr>
          <w:spacing w:val="-4"/>
        </w:rPr>
        <w:t> </w:t>
      </w:r>
      <w:r>
        <w:rPr/>
        <w:t>motion</w:t>
      </w:r>
      <w:r>
        <w:rPr>
          <w:spacing w:val="-5"/>
        </w:rPr>
        <w:t> </w:t>
      </w:r>
      <w:r>
        <w:rPr/>
        <w:t>to</w:t>
      </w:r>
      <w:r>
        <w:rPr>
          <w:spacing w:val="-7"/>
        </w:rPr>
        <w:t> </w:t>
      </w:r>
      <w:r>
        <w:rPr/>
        <w:t>intervene</w:t>
      </w:r>
      <w:r>
        <w:rPr>
          <w:spacing w:val="-5"/>
        </w:rPr>
        <w:t> </w:t>
      </w:r>
      <w:r>
        <w:rPr/>
        <w:t>because</w:t>
      </w:r>
      <w:r>
        <w:rPr>
          <w:spacing w:val="-5"/>
        </w:rPr>
        <w:t> </w:t>
      </w:r>
      <w:r>
        <w:rPr/>
        <w:t>its</w:t>
      </w:r>
      <w:r>
        <w:rPr>
          <w:spacing w:val="-4"/>
        </w:rPr>
        <w:t> </w:t>
      </w:r>
      <w:r>
        <w:rPr/>
        <w:t>members’</w:t>
      </w:r>
      <w:r>
        <w:rPr>
          <w:spacing w:val="-5"/>
        </w:rPr>
        <w:t> </w:t>
      </w:r>
      <w:r>
        <w:rPr/>
        <w:t>interests</w:t>
      </w:r>
      <w:r>
        <w:rPr>
          <w:spacing w:val="-4"/>
        </w:rPr>
        <w:t> </w:t>
      </w:r>
      <w:r>
        <w:rPr/>
        <w:t>will</w:t>
      </w:r>
      <w:r>
        <w:rPr>
          <w:spacing w:val="-5"/>
        </w:rPr>
        <w:t> </w:t>
      </w:r>
      <w:r>
        <w:rPr/>
        <w:t>be directly and substantially affected by the proposed</w:t>
      </w:r>
      <w:r>
        <w:rPr>
          <w:spacing w:val="-11"/>
        </w:rPr>
        <w:t> </w:t>
      </w:r>
      <w:r>
        <w:rPr/>
        <w:t>program.</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13"/>
        </w:rPr>
      </w:pPr>
      <w:r>
        <w:rPr/>
        <w:pict>
          <v:shape style="position:absolute;margin-left:72pt;margin-top:9.795703pt;width:144pt;height:.1pt;mso-position-horizontal-relative:page;mso-position-vertical-relative:paragraph;z-index:-251658240;mso-wrap-distance-left:0;mso-wrap-distance-right:0" coordorigin="1440,196" coordsize="2880,0" path="m1440,196l4320,196e" filled="false" stroked="true" strokeweight=".6pt" strokecolor="#000000">
            <v:path arrowok="t"/>
            <v:stroke dashstyle="solid"/>
            <w10:wrap type="topAndBottom"/>
          </v:shape>
        </w:pict>
      </w:r>
    </w:p>
    <w:p>
      <w:pPr>
        <w:spacing w:before="70"/>
        <w:ind w:left="100" w:right="156" w:firstLine="0"/>
        <w:jc w:val="both"/>
        <w:rPr>
          <w:sz w:val="20"/>
        </w:rPr>
      </w:pPr>
      <w:r>
        <w:rPr>
          <w:position w:val="7"/>
          <w:sz w:val="13"/>
        </w:rPr>
        <w:t>1 </w:t>
      </w:r>
      <w:r>
        <w:rPr>
          <w:sz w:val="20"/>
        </w:rPr>
        <w:t>The comments expressed in this filing represent the position of RESA as an organization but may not represent the views of any particular member of the Association. Founded in 1990, RESA is a broad and diverse group of retail energy suppliers dedicated to promoting efficient, sustainable and customer-oriented competitive retail energy markets. RESA members operate throughout the United States delivering value-added electricity and natural gas service</w:t>
      </w:r>
      <w:r>
        <w:rPr>
          <w:spacing w:val="-7"/>
          <w:sz w:val="20"/>
        </w:rPr>
        <w:t> </w:t>
      </w:r>
      <w:r>
        <w:rPr>
          <w:sz w:val="20"/>
        </w:rPr>
        <w:t>at</w:t>
      </w:r>
      <w:r>
        <w:rPr>
          <w:spacing w:val="-5"/>
          <w:sz w:val="20"/>
        </w:rPr>
        <w:t> </w:t>
      </w:r>
      <w:r>
        <w:rPr>
          <w:sz w:val="20"/>
        </w:rPr>
        <w:t>retail</w:t>
      </w:r>
      <w:r>
        <w:rPr>
          <w:spacing w:val="-8"/>
          <w:sz w:val="20"/>
        </w:rPr>
        <w:t> </w:t>
      </w:r>
      <w:r>
        <w:rPr>
          <w:sz w:val="20"/>
        </w:rPr>
        <w:t>to</w:t>
      </w:r>
      <w:r>
        <w:rPr>
          <w:spacing w:val="-6"/>
          <w:sz w:val="20"/>
        </w:rPr>
        <w:t> </w:t>
      </w:r>
      <w:r>
        <w:rPr>
          <w:sz w:val="20"/>
        </w:rPr>
        <w:t>residential,</w:t>
      </w:r>
      <w:r>
        <w:rPr>
          <w:spacing w:val="-5"/>
          <w:sz w:val="20"/>
        </w:rPr>
        <w:t> </w:t>
      </w:r>
      <w:r>
        <w:rPr>
          <w:sz w:val="20"/>
        </w:rPr>
        <w:t>commercial</w:t>
      </w:r>
      <w:r>
        <w:rPr>
          <w:spacing w:val="-5"/>
          <w:sz w:val="20"/>
        </w:rPr>
        <w:t> </w:t>
      </w:r>
      <w:r>
        <w:rPr>
          <w:sz w:val="20"/>
        </w:rPr>
        <w:t>and</w:t>
      </w:r>
      <w:r>
        <w:rPr>
          <w:spacing w:val="-6"/>
          <w:sz w:val="20"/>
        </w:rPr>
        <w:t> </w:t>
      </w:r>
      <w:r>
        <w:rPr>
          <w:sz w:val="20"/>
        </w:rPr>
        <w:t>industrial</w:t>
      </w:r>
      <w:r>
        <w:rPr>
          <w:spacing w:val="-7"/>
          <w:sz w:val="20"/>
        </w:rPr>
        <w:t> </w:t>
      </w:r>
      <w:r>
        <w:rPr>
          <w:sz w:val="20"/>
        </w:rPr>
        <w:t>energy</w:t>
      </w:r>
      <w:r>
        <w:rPr>
          <w:spacing w:val="-11"/>
          <w:sz w:val="20"/>
        </w:rPr>
        <w:t> </w:t>
      </w:r>
      <w:r>
        <w:rPr>
          <w:sz w:val="20"/>
        </w:rPr>
        <w:t>customers.</w:t>
      </w:r>
      <w:r>
        <w:rPr>
          <w:spacing w:val="39"/>
          <w:sz w:val="20"/>
        </w:rPr>
        <w:t> </w:t>
      </w:r>
      <w:r>
        <w:rPr>
          <w:sz w:val="20"/>
        </w:rPr>
        <w:t>More</w:t>
      </w:r>
      <w:r>
        <w:rPr>
          <w:spacing w:val="-6"/>
          <w:sz w:val="20"/>
        </w:rPr>
        <w:t> </w:t>
      </w:r>
      <w:r>
        <w:rPr>
          <w:sz w:val="20"/>
        </w:rPr>
        <w:t>information</w:t>
      </w:r>
      <w:r>
        <w:rPr>
          <w:spacing w:val="-8"/>
          <w:sz w:val="20"/>
        </w:rPr>
        <w:t> </w:t>
      </w:r>
      <w:r>
        <w:rPr>
          <w:sz w:val="20"/>
        </w:rPr>
        <w:t>on</w:t>
      </w:r>
      <w:r>
        <w:rPr>
          <w:spacing w:val="-6"/>
          <w:sz w:val="20"/>
        </w:rPr>
        <w:t> </w:t>
      </w:r>
      <w:r>
        <w:rPr>
          <w:sz w:val="20"/>
        </w:rPr>
        <w:t>RESA</w:t>
      </w:r>
      <w:r>
        <w:rPr>
          <w:spacing w:val="-7"/>
          <w:sz w:val="20"/>
        </w:rPr>
        <w:t> </w:t>
      </w:r>
      <w:r>
        <w:rPr>
          <w:sz w:val="20"/>
        </w:rPr>
        <w:t>can</w:t>
      </w:r>
      <w:r>
        <w:rPr>
          <w:spacing w:val="-8"/>
          <w:sz w:val="20"/>
        </w:rPr>
        <w:t> </w:t>
      </w:r>
      <w:r>
        <w:rPr>
          <w:sz w:val="20"/>
        </w:rPr>
        <w:t>be</w:t>
      </w:r>
      <w:r>
        <w:rPr>
          <w:spacing w:val="-5"/>
          <w:sz w:val="20"/>
        </w:rPr>
        <w:t> </w:t>
      </w:r>
      <w:r>
        <w:rPr>
          <w:sz w:val="20"/>
        </w:rPr>
        <w:t>found at</w:t>
      </w:r>
      <w:r>
        <w:rPr>
          <w:spacing w:val="1"/>
          <w:sz w:val="20"/>
        </w:rPr>
        <w:t> </w:t>
      </w:r>
      <w:hyperlink r:id="rId6">
        <w:r>
          <w:rPr>
            <w:color w:val="0000FF"/>
            <w:sz w:val="20"/>
            <w:u w:val="single" w:color="0000FF"/>
          </w:rPr>
          <w:t>www.resausa.org</w:t>
        </w:r>
        <w:r>
          <w:rPr>
            <w:sz w:val="20"/>
          </w:rPr>
          <w:t>.</w:t>
        </w:r>
      </w:hyperlink>
    </w:p>
    <w:p>
      <w:pPr>
        <w:spacing w:after="0"/>
        <w:jc w:val="both"/>
        <w:rPr>
          <w:sz w:val="20"/>
        </w:rPr>
        <w:sectPr>
          <w:type w:val="continuous"/>
          <w:pgSz w:w="12240" w:h="15840"/>
          <w:pgMar w:top="1220" w:bottom="980" w:left="1340" w:right="1280"/>
        </w:sectPr>
      </w:pPr>
    </w:p>
    <w:p>
      <w:pPr>
        <w:pStyle w:val="BodyText"/>
        <w:spacing w:line="480" w:lineRule="auto" w:before="70"/>
        <w:ind w:left="100" w:right="123" w:firstLine="720"/>
        <w:jc w:val="both"/>
      </w:pPr>
      <w:r>
        <w:rPr/>
        <w:t>RESA meets the standard for intervention and no other intervening party represents RESA’s or its members’ interests in this matter. Therefore, RESA should be made a full party of record.</w:t>
      </w:r>
    </w:p>
    <w:p>
      <w:pPr>
        <w:pStyle w:val="BodyText"/>
        <w:ind w:left="3700"/>
        <w:jc w:val="both"/>
      </w:pPr>
      <w:r>
        <w:rPr/>
        <w:t>Respectfully Submitted,</w:t>
      </w:r>
    </w:p>
    <w:p>
      <w:pPr>
        <w:pStyle w:val="BodyText"/>
      </w:pPr>
    </w:p>
    <w:p>
      <w:pPr>
        <w:pStyle w:val="BodyText"/>
        <w:tabs>
          <w:tab w:pos="8739" w:val="left" w:leader="none"/>
        </w:tabs>
        <w:ind w:left="3700" w:right="878"/>
      </w:pPr>
      <w:r>
        <w:rPr>
          <w:u w:val="single"/>
        </w:rPr>
        <w:t>/s/ Gretchen</w:t>
      </w:r>
      <w:r>
        <w:rPr>
          <w:spacing w:val="-7"/>
          <w:u w:val="single"/>
        </w:rPr>
        <w:t> </w:t>
      </w:r>
      <w:r>
        <w:rPr>
          <w:u w:val="single"/>
        </w:rPr>
        <w:t>L.</w:t>
      </w:r>
      <w:r>
        <w:rPr>
          <w:spacing w:val="-4"/>
          <w:u w:val="single"/>
        </w:rPr>
        <w:t> </w:t>
      </w:r>
      <w:r>
        <w:rPr>
          <w:u w:val="single"/>
        </w:rPr>
        <w:t>Petrucci</w:t>
        <w:tab/>
      </w:r>
      <w:r>
        <w:rPr/>
        <w:t> Michael J. Settineri (0073369), Counsel of Record Gretchen L. Petrucci</w:t>
      </w:r>
      <w:r>
        <w:rPr>
          <w:spacing w:val="4"/>
        </w:rPr>
        <w:t> </w:t>
      </w:r>
      <w:r>
        <w:rPr/>
        <w:t>(0046608)</w:t>
      </w:r>
    </w:p>
    <w:p>
      <w:pPr>
        <w:pStyle w:val="BodyText"/>
        <w:ind w:left="3700" w:right="2148"/>
      </w:pPr>
      <w:r>
        <w:rPr/>
        <w:t>Vorys, Sater, Seymour and Pease LLP 52 East Gay Street</w:t>
      </w:r>
    </w:p>
    <w:p>
      <w:pPr>
        <w:pStyle w:val="BodyText"/>
        <w:spacing w:before="1"/>
        <w:ind w:left="3700"/>
      </w:pPr>
      <w:r>
        <w:rPr/>
        <w:t>Columbus, OH</w:t>
      </w:r>
      <w:r>
        <w:rPr>
          <w:spacing w:val="59"/>
        </w:rPr>
        <w:t> </w:t>
      </w:r>
      <w:r>
        <w:rPr/>
        <w:t>43215</w:t>
      </w:r>
    </w:p>
    <w:p>
      <w:pPr>
        <w:pStyle w:val="BodyText"/>
        <w:ind w:left="3700"/>
      </w:pPr>
      <w:r>
        <w:rPr/>
        <w:t>614-464-5462</w:t>
      </w:r>
    </w:p>
    <w:p>
      <w:pPr>
        <w:pStyle w:val="BodyText"/>
        <w:ind w:left="3700"/>
      </w:pPr>
      <w:r>
        <w:rPr/>
        <w:t>614-464-5407</w:t>
      </w:r>
    </w:p>
    <w:p>
      <w:pPr>
        <w:pStyle w:val="BodyText"/>
        <w:ind w:left="3700" w:right="2148"/>
      </w:pPr>
      <w:hyperlink r:id="rId7">
        <w:r>
          <w:rPr>
            <w:color w:val="0000FF"/>
            <w:u w:val="single" w:color="0000FF"/>
          </w:rPr>
          <w:t>mjsettineri@vorys.com</w:t>
        </w:r>
      </w:hyperlink>
      <w:r>
        <w:rPr>
          <w:color w:val="0000FF"/>
        </w:rPr>
        <w:t> </w:t>
      </w:r>
      <w:hyperlink r:id="rId8">
        <w:r>
          <w:rPr>
            <w:color w:val="0000FF"/>
            <w:u w:val="single" w:color="0000FF"/>
          </w:rPr>
          <w:t>glpetrucci@vorys.com</w:t>
        </w:r>
      </w:hyperlink>
    </w:p>
    <w:p>
      <w:pPr>
        <w:pStyle w:val="BodyText"/>
        <w:spacing w:before="2"/>
        <w:rPr>
          <w:sz w:val="16"/>
        </w:rPr>
      </w:pPr>
    </w:p>
    <w:p>
      <w:pPr>
        <w:spacing w:before="90"/>
        <w:ind w:left="3700" w:right="0" w:firstLine="0"/>
        <w:jc w:val="left"/>
        <w:rPr>
          <w:i/>
          <w:sz w:val="24"/>
        </w:rPr>
      </w:pPr>
      <w:r>
        <w:rPr>
          <w:i/>
          <w:sz w:val="24"/>
        </w:rPr>
        <w:t>Counsel for the Retail Energy Supply Association</w:t>
      </w:r>
    </w:p>
    <w:p>
      <w:pPr>
        <w:spacing w:after="0"/>
        <w:jc w:val="left"/>
        <w:rPr>
          <w:sz w:val="24"/>
        </w:rPr>
        <w:sectPr>
          <w:pgSz w:w="12240" w:h="15840"/>
          <w:pgMar w:header="0" w:footer="791" w:top="1220" w:bottom="980" w:left="1340" w:right="1280"/>
        </w:sectPr>
      </w:pPr>
    </w:p>
    <w:p>
      <w:pPr>
        <w:pStyle w:val="Heading1"/>
        <w:spacing w:before="75"/>
        <w:ind w:left="2792" w:right="2941" w:hanging="4"/>
        <w:jc w:val="center"/>
      </w:pPr>
      <w:r>
        <w:rPr/>
        <w:t>MEMORANDUM IN SUPPORT OF THE MOTION TO INTERVENE OF</w:t>
      </w:r>
    </w:p>
    <w:p>
      <w:pPr>
        <w:spacing w:before="0"/>
        <w:ind w:left="1965" w:right="2025" w:firstLine="0"/>
        <w:jc w:val="center"/>
        <w:rPr>
          <w:b/>
          <w:sz w:val="24"/>
        </w:rPr>
      </w:pPr>
      <w:r>
        <w:rPr>
          <w:b/>
          <w:sz w:val="24"/>
          <w:u w:val="thick"/>
        </w:rPr>
        <w:t>THE RETAIL ENERGY SUPPLY ASSOCIATION</w:t>
      </w:r>
    </w:p>
    <w:p>
      <w:pPr>
        <w:pStyle w:val="BodyText"/>
        <w:spacing w:before="9"/>
        <w:rPr>
          <w:b/>
          <w:sz w:val="15"/>
        </w:rPr>
      </w:pPr>
    </w:p>
    <w:p>
      <w:pPr>
        <w:pStyle w:val="BodyText"/>
        <w:spacing w:line="480" w:lineRule="auto" w:before="90"/>
        <w:ind w:left="100" w:right="155" w:firstLine="720"/>
        <w:jc w:val="both"/>
      </w:pPr>
      <w:r>
        <w:rPr/>
        <w:t>RESA</w:t>
      </w:r>
      <w:r>
        <w:rPr>
          <w:spacing w:val="-12"/>
        </w:rPr>
        <w:t> </w:t>
      </w:r>
      <w:r>
        <w:rPr/>
        <w:t>is</w:t>
      </w:r>
      <w:r>
        <w:rPr>
          <w:spacing w:val="-11"/>
        </w:rPr>
        <w:t> </w:t>
      </w:r>
      <w:r>
        <w:rPr/>
        <w:t>a</w:t>
      </w:r>
      <w:r>
        <w:rPr>
          <w:spacing w:val="-12"/>
        </w:rPr>
        <w:t> </w:t>
      </w:r>
      <w:r>
        <w:rPr/>
        <w:t>broad</w:t>
      </w:r>
      <w:r>
        <w:rPr>
          <w:spacing w:val="-11"/>
        </w:rPr>
        <w:t> </w:t>
      </w:r>
      <w:r>
        <w:rPr/>
        <w:t>and</w:t>
      </w:r>
      <w:r>
        <w:rPr>
          <w:spacing w:val="-9"/>
        </w:rPr>
        <w:t> </w:t>
      </w:r>
      <w:r>
        <w:rPr/>
        <w:t>diverse</w:t>
      </w:r>
      <w:r>
        <w:rPr>
          <w:spacing w:val="-9"/>
        </w:rPr>
        <w:t> </w:t>
      </w:r>
      <w:r>
        <w:rPr/>
        <w:t>group</w:t>
      </w:r>
      <w:r>
        <w:rPr>
          <w:spacing w:val="-11"/>
        </w:rPr>
        <w:t> </w:t>
      </w:r>
      <w:r>
        <w:rPr/>
        <w:t>of</w:t>
      </w:r>
      <w:r>
        <w:rPr>
          <w:spacing w:val="-11"/>
        </w:rPr>
        <w:t> </w:t>
      </w:r>
      <w:r>
        <w:rPr/>
        <w:t>retail</w:t>
      </w:r>
      <w:r>
        <w:rPr>
          <w:spacing w:val="-11"/>
        </w:rPr>
        <w:t> </w:t>
      </w:r>
      <w:r>
        <w:rPr/>
        <w:t>energy</w:t>
      </w:r>
      <w:r>
        <w:rPr>
          <w:spacing w:val="-11"/>
        </w:rPr>
        <w:t> </w:t>
      </w:r>
      <w:r>
        <w:rPr/>
        <w:t>suppliers</w:t>
      </w:r>
      <w:r>
        <w:rPr>
          <w:spacing w:val="-10"/>
        </w:rPr>
        <w:t> </w:t>
      </w:r>
      <w:r>
        <w:rPr/>
        <w:t>who</w:t>
      </w:r>
      <w:r>
        <w:rPr>
          <w:spacing w:val="-11"/>
        </w:rPr>
        <w:t> </w:t>
      </w:r>
      <w:r>
        <w:rPr/>
        <w:t>share</w:t>
      </w:r>
      <w:r>
        <w:rPr>
          <w:spacing w:val="-12"/>
        </w:rPr>
        <w:t> </w:t>
      </w:r>
      <w:r>
        <w:rPr/>
        <w:t>the</w:t>
      </w:r>
      <w:r>
        <w:rPr>
          <w:spacing w:val="-9"/>
        </w:rPr>
        <w:t> </w:t>
      </w:r>
      <w:r>
        <w:rPr/>
        <w:t>common</w:t>
      </w:r>
      <w:r>
        <w:rPr>
          <w:spacing w:val="-11"/>
        </w:rPr>
        <w:t> </w:t>
      </w:r>
      <w:r>
        <w:rPr/>
        <w:t>vision that competitive retail energy markets deliver a more efficient, customer-oriented outcome than a regulated utility structure. Many of RESA’s members are certified as competitive retail natural gas service (“CRNGS”) providers and are active in the Ohio retail markets providing service to residential, commercial, industrial and governmental customers. In addition, RESA members provide CRNGS to customers in the service area of Duke Energy Ohio, Inc. (“Duke</w:t>
      </w:r>
      <w:r>
        <w:rPr>
          <w:spacing w:val="-20"/>
        </w:rPr>
        <w:t> </w:t>
      </w:r>
      <w:r>
        <w:rPr/>
        <w:t>Energy”).</w:t>
      </w:r>
    </w:p>
    <w:p>
      <w:pPr>
        <w:pStyle w:val="BodyText"/>
        <w:spacing w:line="480" w:lineRule="auto"/>
        <w:ind w:left="100" w:right="119" w:firstLine="720"/>
        <w:jc w:val="both"/>
      </w:pPr>
      <w:r>
        <w:rPr/>
        <w:t>The standard for intervention at the Public Utilities Commission of Ohio (“Commission”) is governed by R.C. 4903.221 and Rule 4901-1-11. R.C. 4903.221 states that the Commission shall consider: (1) the nature and extent of the prospective intervenor’s interest; (2) the legal position advanced by the prospective intervenor and its probable relation to the merits of the</w:t>
      </w:r>
      <w:r>
        <w:rPr>
          <w:spacing w:val="-32"/>
        </w:rPr>
        <w:t> </w:t>
      </w:r>
      <w:r>
        <w:rPr/>
        <w:t>case;</w:t>
      </w:r>
    </w:p>
    <w:p>
      <w:pPr>
        <w:pStyle w:val="BodyText"/>
        <w:spacing w:line="480" w:lineRule="auto"/>
        <w:ind w:left="100" w:right="123"/>
        <w:jc w:val="both"/>
      </w:pPr>
      <w:r>
        <w:rPr/>
        <w:t>(3) whether the intervention by the prospective intervenor will unduly prolong or delay the proceedings; and (4) whether the prospective intervenor will significantly contribute to full development and equitable resolution of the factual issues. Rule 4901-1-11 states in part:</w:t>
      </w:r>
    </w:p>
    <w:p>
      <w:pPr>
        <w:pStyle w:val="BodyText"/>
        <w:ind w:left="1540" w:right="877"/>
        <w:jc w:val="both"/>
      </w:pPr>
      <w:r>
        <w:rPr/>
        <w:t>Upon timely motion, any person shall be permitted to intervene in a proceeding upon a showing that:</w:t>
      </w:r>
    </w:p>
    <w:p>
      <w:pPr>
        <w:pStyle w:val="BodyText"/>
      </w:pPr>
    </w:p>
    <w:p>
      <w:pPr>
        <w:pStyle w:val="BodyText"/>
        <w:spacing w:before="1"/>
        <w:ind w:left="2000" w:right="1340"/>
        <w:jc w:val="center"/>
      </w:pPr>
      <w:r>
        <w:rPr/>
        <w:t>* * *</w:t>
      </w:r>
    </w:p>
    <w:p>
      <w:pPr>
        <w:pStyle w:val="BodyText"/>
        <w:spacing w:before="11"/>
        <w:rPr>
          <w:sz w:val="23"/>
        </w:rPr>
      </w:pPr>
    </w:p>
    <w:p>
      <w:pPr>
        <w:pStyle w:val="BodyText"/>
        <w:ind w:left="1540" w:right="878"/>
        <w:jc w:val="both"/>
      </w:pPr>
      <w:r>
        <w:rPr/>
        <w:t>(2) The person has a real and substantial interest in the proceeding, and the person is so situated that the disposition of the proceeding may, as a practical matter, impair or impede his or her ability to protect that interest, unless the person’s interest is adequately represented by existing parties.</w:t>
      </w:r>
    </w:p>
    <w:p>
      <w:pPr>
        <w:pStyle w:val="BodyText"/>
      </w:pPr>
    </w:p>
    <w:p>
      <w:pPr>
        <w:pStyle w:val="BodyText"/>
        <w:spacing w:line="480" w:lineRule="auto"/>
        <w:ind w:left="100"/>
      </w:pPr>
      <w:r>
        <w:rPr/>
        <w:t>A review of the intervention criteria in light of the following facts supports granting RESA’s intervention.</w:t>
      </w:r>
    </w:p>
    <w:p>
      <w:pPr>
        <w:pStyle w:val="BodyText"/>
        <w:spacing w:line="480" w:lineRule="auto"/>
        <w:ind w:left="100" w:right="120" w:firstLine="720"/>
        <w:jc w:val="both"/>
      </w:pPr>
      <w:r>
        <w:rPr/>
        <w:t>RESA satisfies all of the factors for intervention and the Commission should make RESA a full party to this proceeding. First, RESA has a real, direct and substantial interest in several</w:t>
      </w:r>
    </w:p>
    <w:p>
      <w:pPr>
        <w:spacing w:after="0" w:line="480" w:lineRule="auto"/>
        <w:jc w:val="both"/>
        <w:sectPr>
          <w:pgSz w:w="12240" w:h="15840"/>
          <w:pgMar w:header="0" w:footer="791" w:top="1220" w:bottom="980" w:left="1340" w:right="1280"/>
        </w:sectPr>
      </w:pPr>
    </w:p>
    <w:p>
      <w:pPr>
        <w:pStyle w:val="BodyText"/>
        <w:spacing w:line="480" w:lineRule="auto" w:before="70"/>
        <w:ind w:left="100" w:right="120"/>
        <w:jc w:val="both"/>
      </w:pPr>
      <w:r>
        <w:rPr/>
        <w:t>issues in these proceedings. For example, Duke Energy is proposing to increase its base distribution</w:t>
      </w:r>
      <w:r>
        <w:rPr>
          <w:spacing w:val="-17"/>
        </w:rPr>
        <w:t> </w:t>
      </w:r>
      <w:r>
        <w:rPr/>
        <w:t>rates,</w:t>
      </w:r>
      <w:r>
        <w:rPr>
          <w:spacing w:val="-16"/>
        </w:rPr>
        <w:t> </w:t>
      </w:r>
      <w:r>
        <w:rPr/>
        <w:t>to</w:t>
      </w:r>
      <w:r>
        <w:rPr>
          <w:spacing w:val="-16"/>
        </w:rPr>
        <w:t> </w:t>
      </w:r>
      <w:r>
        <w:rPr/>
        <w:t>recover</w:t>
      </w:r>
      <w:r>
        <w:rPr>
          <w:spacing w:val="-18"/>
        </w:rPr>
        <w:t> </w:t>
      </w:r>
      <w:r>
        <w:rPr/>
        <w:t>costs</w:t>
      </w:r>
      <w:r>
        <w:rPr>
          <w:spacing w:val="-16"/>
        </w:rPr>
        <w:t> </w:t>
      </w:r>
      <w:r>
        <w:rPr/>
        <w:t>for</w:t>
      </w:r>
      <w:r>
        <w:rPr>
          <w:spacing w:val="-17"/>
        </w:rPr>
        <w:t> </w:t>
      </w:r>
      <w:r>
        <w:rPr/>
        <w:t>implementing</w:t>
      </w:r>
      <w:r>
        <w:rPr>
          <w:spacing w:val="-19"/>
        </w:rPr>
        <w:t> </w:t>
      </w:r>
      <w:r>
        <w:rPr/>
        <w:t>a</w:t>
      </w:r>
      <w:r>
        <w:rPr>
          <w:spacing w:val="-14"/>
        </w:rPr>
        <w:t> </w:t>
      </w:r>
      <w:r>
        <w:rPr/>
        <w:t>customer</w:t>
      </w:r>
      <w:r>
        <w:rPr>
          <w:spacing w:val="-18"/>
        </w:rPr>
        <w:t> </w:t>
      </w:r>
      <w:r>
        <w:rPr/>
        <w:t>information</w:t>
      </w:r>
      <w:r>
        <w:rPr>
          <w:spacing w:val="-14"/>
        </w:rPr>
        <w:t> </w:t>
      </w:r>
      <w:r>
        <w:rPr/>
        <w:t>system</w:t>
      </w:r>
      <w:r>
        <w:rPr>
          <w:spacing w:val="-15"/>
        </w:rPr>
        <w:t> </w:t>
      </w:r>
      <w:r>
        <w:rPr/>
        <w:t>that</w:t>
      </w:r>
      <w:r>
        <w:rPr>
          <w:spacing w:val="-17"/>
        </w:rPr>
        <w:t> </w:t>
      </w:r>
      <w:r>
        <w:rPr/>
        <w:t>has</w:t>
      </w:r>
      <w:r>
        <w:rPr>
          <w:spacing w:val="-16"/>
        </w:rPr>
        <w:t> </w:t>
      </w:r>
      <w:r>
        <w:rPr/>
        <w:t>harmed competitive suppliers’ business interests, and to modify its tariff to impose new operational requirements on suppliers. RESA seeks to ensure that authorized cost recovery and changes are just and reasonable, do not harm supplier interests or the competitive market, and comply with Ohio law. The outcome of these issues are of substantial interest to RESA and its</w:t>
      </w:r>
      <w:r>
        <w:rPr>
          <w:spacing w:val="-18"/>
        </w:rPr>
        <w:t> </w:t>
      </w:r>
      <w:r>
        <w:rPr/>
        <w:t>members.</w:t>
      </w:r>
    </w:p>
    <w:p>
      <w:pPr>
        <w:pStyle w:val="BodyText"/>
        <w:spacing w:line="480" w:lineRule="auto" w:before="1"/>
        <w:ind w:left="100" w:right="117" w:firstLine="720"/>
        <w:jc w:val="both"/>
      </w:pPr>
      <w:r>
        <w:rPr/>
        <w:t>Second, RESA can contribute to a just and expeditious resolution of the issues involved. RESA has been granted intervention in multiple rate case proceedings and participated for many years</w:t>
      </w:r>
      <w:r>
        <w:rPr>
          <w:spacing w:val="-14"/>
        </w:rPr>
        <w:t> </w:t>
      </w:r>
      <w:r>
        <w:rPr/>
        <w:t>in</w:t>
      </w:r>
      <w:r>
        <w:rPr>
          <w:spacing w:val="-14"/>
        </w:rPr>
        <w:t> </w:t>
      </w:r>
      <w:r>
        <w:rPr/>
        <w:t>a</w:t>
      </w:r>
      <w:r>
        <w:rPr>
          <w:spacing w:val="-14"/>
        </w:rPr>
        <w:t> </w:t>
      </w:r>
      <w:r>
        <w:rPr/>
        <w:t>wide</w:t>
      </w:r>
      <w:r>
        <w:rPr>
          <w:spacing w:val="-15"/>
        </w:rPr>
        <w:t> </w:t>
      </w:r>
      <w:r>
        <w:rPr/>
        <w:t>variety</w:t>
      </w:r>
      <w:r>
        <w:rPr>
          <w:spacing w:val="-18"/>
        </w:rPr>
        <w:t> </w:t>
      </w:r>
      <w:r>
        <w:rPr/>
        <w:t>of</w:t>
      </w:r>
      <w:r>
        <w:rPr>
          <w:spacing w:val="-12"/>
        </w:rPr>
        <w:t> </w:t>
      </w:r>
      <w:r>
        <w:rPr/>
        <w:t>Commission</w:t>
      </w:r>
      <w:r>
        <w:rPr>
          <w:spacing w:val="-13"/>
        </w:rPr>
        <w:t> </w:t>
      </w:r>
      <w:r>
        <w:rPr/>
        <w:t>proceedings.</w:t>
      </w:r>
      <w:r>
        <w:rPr>
          <w:spacing w:val="34"/>
        </w:rPr>
        <w:t> </w:t>
      </w:r>
      <w:r>
        <w:rPr/>
        <w:t>RESA</w:t>
      </w:r>
      <w:r>
        <w:rPr>
          <w:spacing w:val="-14"/>
        </w:rPr>
        <w:t> </w:t>
      </w:r>
      <w:r>
        <w:rPr/>
        <w:t>is</w:t>
      </w:r>
      <w:r>
        <w:rPr>
          <w:spacing w:val="-13"/>
        </w:rPr>
        <w:t> </w:t>
      </w:r>
      <w:r>
        <w:rPr/>
        <w:t>knowledgeable</w:t>
      </w:r>
      <w:r>
        <w:rPr>
          <w:spacing w:val="-14"/>
        </w:rPr>
        <w:t> </w:t>
      </w:r>
      <w:r>
        <w:rPr/>
        <w:t>and</w:t>
      </w:r>
      <w:r>
        <w:rPr>
          <w:spacing w:val="-13"/>
        </w:rPr>
        <w:t> </w:t>
      </w:r>
      <w:r>
        <w:rPr/>
        <w:t>experienced</w:t>
      </w:r>
      <w:r>
        <w:rPr>
          <w:spacing w:val="-13"/>
        </w:rPr>
        <w:t> </w:t>
      </w:r>
      <w:r>
        <w:rPr/>
        <w:t>with the</w:t>
      </w:r>
      <w:r>
        <w:rPr>
          <w:spacing w:val="-8"/>
        </w:rPr>
        <w:t> </w:t>
      </w:r>
      <w:r>
        <w:rPr/>
        <w:t>matters</w:t>
      </w:r>
      <w:r>
        <w:rPr>
          <w:spacing w:val="-7"/>
        </w:rPr>
        <w:t> </w:t>
      </w:r>
      <w:r>
        <w:rPr/>
        <w:t>in</w:t>
      </w:r>
      <w:r>
        <w:rPr>
          <w:spacing w:val="-6"/>
        </w:rPr>
        <w:t> </w:t>
      </w:r>
      <w:r>
        <w:rPr/>
        <w:t>Duke’s</w:t>
      </w:r>
      <w:r>
        <w:rPr>
          <w:spacing w:val="-7"/>
        </w:rPr>
        <w:t> </w:t>
      </w:r>
      <w:r>
        <w:rPr/>
        <w:t>service</w:t>
      </w:r>
      <w:r>
        <w:rPr>
          <w:spacing w:val="-7"/>
        </w:rPr>
        <w:t> </w:t>
      </w:r>
      <w:r>
        <w:rPr/>
        <w:t>territory.</w:t>
      </w:r>
      <w:r>
        <w:rPr>
          <w:spacing w:val="47"/>
        </w:rPr>
        <w:t> </w:t>
      </w:r>
      <w:r>
        <w:rPr/>
        <w:t>Third,</w:t>
      </w:r>
      <w:r>
        <w:rPr>
          <w:spacing w:val="-7"/>
        </w:rPr>
        <w:t> </w:t>
      </w:r>
      <w:r>
        <w:rPr/>
        <w:t>no</w:t>
      </w:r>
      <w:r>
        <w:rPr>
          <w:spacing w:val="-9"/>
        </w:rPr>
        <w:t> </w:t>
      </w:r>
      <w:r>
        <w:rPr/>
        <w:t>other</w:t>
      </w:r>
      <w:r>
        <w:rPr>
          <w:spacing w:val="-8"/>
        </w:rPr>
        <w:t> </w:t>
      </w:r>
      <w:r>
        <w:rPr/>
        <w:t>party</w:t>
      </w:r>
      <w:r>
        <w:rPr>
          <w:spacing w:val="-14"/>
        </w:rPr>
        <w:t> </w:t>
      </w:r>
      <w:r>
        <w:rPr/>
        <w:t>to</w:t>
      </w:r>
      <w:r>
        <w:rPr>
          <w:spacing w:val="-6"/>
        </w:rPr>
        <w:t> </w:t>
      </w:r>
      <w:r>
        <w:rPr/>
        <w:t>this</w:t>
      </w:r>
      <w:r>
        <w:rPr>
          <w:spacing w:val="-7"/>
        </w:rPr>
        <w:t> </w:t>
      </w:r>
      <w:r>
        <w:rPr/>
        <w:t>proceeding</w:t>
      </w:r>
      <w:r>
        <w:rPr>
          <w:spacing w:val="-9"/>
        </w:rPr>
        <w:t> </w:t>
      </w:r>
      <w:r>
        <w:rPr/>
        <w:t>represents</w:t>
      </w:r>
      <w:r>
        <w:rPr>
          <w:spacing w:val="-7"/>
        </w:rPr>
        <w:t> </w:t>
      </w:r>
      <w:r>
        <w:rPr/>
        <w:t>RESA’s interests. Fourth, RESA’s intervention request is timely and its intervention would not unduly delay the proceedings. For all of these reasons, RESA respectfully requests that the Commission grant this motion to intervene and that RESA be made a full party of</w:t>
      </w:r>
      <w:r>
        <w:rPr>
          <w:spacing w:val="-13"/>
        </w:rPr>
        <w:t> </w:t>
      </w:r>
      <w:r>
        <w:rPr/>
        <w:t>record.</w:t>
      </w:r>
    </w:p>
    <w:p>
      <w:pPr>
        <w:pStyle w:val="BodyText"/>
        <w:ind w:left="3700"/>
        <w:jc w:val="both"/>
      </w:pPr>
      <w:r>
        <w:rPr/>
        <w:t>Respectfully Submitted,</w:t>
      </w:r>
    </w:p>
    <w:p>
      <w:pPr>
        <w:pStyle w:val="BodyText"/>
      </w:pPr>
    </w:p>
    <w:p>
      <w:pPr>
        <w:pStyle w:val="BodyText"/>
        <w:tabs>
          <w:tab w:pos="8019" w:val="left" w:leader="none"/>
        </w:tabs>
        <w:ind w:left="3700" w:right="1065"/>
      </w:pPr>
      <w:r>
        <w:rPr>
          <w:u w:val="single"/>
        </w:rPr>
        <w:t>/s/ Gretchen</w:t>
      </w:r>
      <w:r>
        <w:rPr>
          <w:spacing w:val="-7"/>
          <w:u w:val="single"/>
        </w:rPr>
        <w:t> </w:t>
      </w:r>
      <w:r>
        <w:rPr>
          <w:u w:val="single"/>
        </w:rPr>
        <w:t>L.</w:t>
      </w:r>
      <w:r>
        <w:rPr>
          <w:spacing w:val="-4"/>
          <w:u w:val="single"/>
        </w:rPr>
        <w:t> </w:t>
      </w:r>
      <w:r>
        <w:rPr>
          <w:u w:val="single"/>
        </w:rPr>
        <w:t>Petrucci</w:t>
        <w:tab/>
      </w:r>
      <w:r>
        <w:rPr/>
        <w:t> Michael J. Settineri (0073369), Counsel of Record Gretchen L. Petrucci</w:t>
      </w:r>
      <w:r>
        <w:rPr>
          <w:spacing w:val="4"/>
        </w:rPr>
        <w:t> </w:t>
      </w:r>
      <w:r>
        <w:rPr/>
        <w:t>(0046608)</w:t>
      </w:r>
    </w:p>
    <w:p>
      <w:pPr>
        <w:pStyle w:val="BodyText"/>
        <w:ind w:left="3700" w:right="2148"/>
      </w:pPr>
      <w:r>
        <w:rPr/>
        <w:t>Vorys, Sater, Seymour and Pease LLP 52 E. Gay Street</w:t>
      </w:r>
    </w:p>
    <w:p>
      <w:pPr>
        <w:pStyle w:val="BodyText"/>
        <w:ind w:left="3700"/>
      </w:pPr>
      <w:r>
        <w:rPr/>
        <w:t>Columbus, OH</w:t>
      </w:r>
      <w:r>
        <w:rPr>
          <w:spacing w:val="59"/>
        </w:rPr>
        <w:t> </w:t>
      </w:r>
      <w:r>
        <w:rPr/>
        <w:t>43215</w:t>
      </w:r>
    </w:p>
    <w:p>
      <w:pPr>
        <w:pStyle w:val="BodyText"/>
        <w:ind w:left="3700"/>
      </w:pPr>
      <w:r>
        <w:rPr/>
        <w:t>614-464-5462</w:t>
      </w:r>
    </w:p>
    <w:p>
      <w:pPr>
        <w:pStyle w:val="BodyText"/>
        <w:ind w:left="3700"/>
      </w:pPr>
      <w:r>
        <w:rPr/>
        <w:t>614-464-5407</w:t>
      </w:r>
    </w:p>
    <w:p>
      <w:pPr>
        <w:pStyle w:val="BodyText"/>
        <w:ind w:left="3700" w:right="2148"/>
      </w:pPr>
      <w:hyperlink r:id="rId7">
        <w:r>
          <w:rPr>
            <w:color w:val="0000FF"/>
            <w:u w:val="single" w:color="0000FF"/>
          </w:rPr>
          <w:t>mjsettineri@vorys.com</w:t>
        </w:r>
      </w:hyperlink>
      <w:r>
        <w:rPr>
          <w:color w:val="0000FF"/>
        </w:rPr>
        <w:t> </w:t>
      </w:r>
      <w:hyperlink r:id="rId8">
        <w:r>
          <w:rPr>
            <w:color w:val="0000FF"/>
            <w:u w:val="single" w:color="0000FF"/>
          </w:rPr>
          <w:t>glpetrucci@vorys.com</w:t>
        </w:r>
      </w:hyperlink>
    </w:p>
    <w:p>
      <w:pPr>
        <w:pStyle w:val="BodyText"/>
        <w:spacing w:before="2"/>
        <w:rPr>
          <w:sz w:val="16"/>
        </w:rPr>
      </w:pPr>
    </w:p>
    <w:p>
      <w:pPr>
        <w:spacing w:before="90"/>
        <w:ind w:left="3700" w:right="0" w:firstLine="0"/>
        <w:jc w:val="left"/>
        <w:rPr>
          <w:i/>
          <w:sz w:val="24"/>
        </w:rPr>
      </w:pPr>
      <w:r>
        <w:rPr>
          <w:i/>
          <w:sz w:val="24"/>
        </w:rPr>
        <w:t>Counsel for the Retail Energy Supply Association</w:t>
      </w:r>
    </w:p>
    <w:p>
      <w:pPr>
        <w:spacing w:after="0"/>
        <w:jc w:val="left"/>
        <w:rPr>
          <w:sz w:val="24"/>
        </w:rPr>
        <w:sectPr>
          <w:pgSz w:w="12240" w:h="15840"/>
          <w:pgMar w:header="0" w:footer="791" w:top="1220" w:bottom="980" w:left="1340" w:right="1280"/>
        </w:sectPr>
      </w:pPr>
    </w:p>
    <w:p>
      <w:pPr>
        <w:pStyle w:val="Heading1"/>
        <w:spacing w:before="75"/>
        <w:ind w:left="2000" w:right="2024"/>
        <w:jc w:val="center"/>
      </w:pPr>
      <w:r>
        <w:rPr>
          <w:u w:val="thick"/>
        </w:rPr>
        <w:t>CERTIFICATE OF SERVICE</w:t>
      </w:r>
    </w:p>
    <w:p>
      <w:pPr>
        <w:pStyle w:val="BodyText"/>
        <w:spacing w:before="9"/>
        <w:rPr>
          <w:b/>
          <w:sz w:val="15"/>
        </w:rPr>
      </w:pPr>
    </w:p>
    <w:p>
      <w:pPr>
        <w:pStyle w:val="BodyText"/>
        <w:spacing w:before="90"/>
        <w:ind w:left="100" w:right="116" w:firstLine="720"/>
        <w:jc w:val="both"/>
      </w:pPr>
      <w:r>
        <w:rPr/>
        <w:t>The Public Utilities Commission of Ohio’s e-filing system will electronically serve notice of the filing of this document on the parties referenced in the service list of the docket card who have electronically subscribed to these cases. In addition, the undersigned certifies that a courtesy copy of the foregoing document is also being served upon the persons below via electronic mail this 28th day of November 2022.</w:t>
      </w:r>
    </w:p>
    <w:p>
      <w:pPr>
        <w:pStyle w:val="BodyText"/>
        <w:rPr>
          <w:sz w:val="26"/>
        </w:rPr>
      </w:pPr>
    </w:p>
    <w:p>
      <w:pPr>
        <w:pStyle w:val="BodyText"/>
        <w:rPr>
          <w:sz w:val="22"/>
        </w:rPr>
      </w:pPr>
    </w:p>
    <w:p>
      <w:pPr>
        <w:pStyle w:val="BodyText"/>
        <w:tabs>
          <w:tab w:pos="5245" w:val="left" w:leader="none"/>
        </w:tabs>
        <w:ind w:left="5245" w:right="1009" w:hanging="5038"/>
      </w:pPr>
      <w:r>
        <w:rPr/>
        <w:t>Duke Energy</w:t>
      </w:r>
      <w:r>
        <w:rPr>
          <w:spacing w:val="-7"/>
        </w:rPr>
        <w:t> </w:t>
      </w:r>
      <w:r>
        <w:rPr/>
        <w:t>Ohio, Inc.</w:t>
        <w:tab/>
      </w:r>
      <w:hyperlink r:id="rId10">
        <w:r>
          <w:rPr>
            <w:color w:val="0000FF"/>
            <w:spacing w:val="-1"/>
            <w:u w:val="single" w:color="0000FF"/>
          </w:rPr>
          <w:t>rocco.dascenzo@duke-energy.com</w:t>
        </w:r>
      </w:hyperlink>
      <w:r>
        <w:rPr>
          <w:color w:val="0000FF"/>
          <w:spacing w:val="-1"/>
        </w:rPr>
        <w:t> </w:t>
      </w:r>
      <w:hyperlink r:id="rId11">
        <w:r>
          <w:rPr>
            <w:color w:val="0000FF"/>
            <w:u w:val="single" w:color="0000FF"/>
          </w:rPr>
          <w:t>jeanne.kingery@duke-energy.com</w:t>
        </w:r>
      </w:hyperlink>
      <w:r>
        <w:rPr>
          <w:color w:val="0000FF"/>
        </w:rPr>
        <w:t> </w:t>
      </w:r>
      <w:hyperlink r:id="rId12">
        <w:r>
          <w:rPr>
            <w:color w:val="0000FF"/>
            <w:u w:val="single" w:color="0000FF"/>
          </w:rPr>
          <w:t>larisa.vaysman@duke-energy.com</w:t>
        </w:r>
      </w:hyperlink>
      <w:r>
        <w:rPr>
          <w:color w:val="0000FF"/>
        </w:rPr>
        <w:t> </w:t>
      </w:r>
      <w:hyperlink r:id="rId13">
        <w:r>
          <w:rPr>
            <w:color w:val="0000FF"/>
            <w:u w:val="single" w:color="0000FF"/>
          </w:rPr>
          <w:t>elyse.akhbari@duke-energy.com</w:t>
        </w:r>
      </w:hyperlink>
      <w:r>
        <w:rPr>
          <w:color w:val="0000FF"/>
        </w:rPr>
        <w:t> </w:t>
      </w:r>
      <w:hyperlink r:id="rId14">
        <w:r>
          <w:rPr>
            <w:color w:val="0000FF"/>
            <w:u w:val="single" w:color="0000FF"/>
          </w:rPr>
          <w:t>ebrama@taftlaw.com</w:t>
        </w:r>
      </w:hyperlink>
    </w:p>
    <w:p>
      <w:pPr>
        <w:pStyle w:val="BodyText"/>
        <w:spacing w:before="2"/>
        <w:rPr>
          <w:sz w:val="16"/>
        </w:rPr>
      </w:pPr>
    </w:p>
    <w:p>
      <w:pPr>
        <w:pStyle w:val="BodyText"/>
        <w:tabs>
          <w:tab w:pos="5245" w:val="left" w:leader="none"/>
        </w:tabs>
        <w:spacing w:before="90"/>
        <w:ind w:left="5245" w:right="1927" w:hanging="5038"/>
      </w:pPr>
      <w:r>
        <w:rPr/>
        <w:t>Interstate Gas</w:t>
      </w:r>
      <w:r>
        <w:rPr>
          <w:spacing w:val="-6"/>
        </w:rPr>
        <w:t> </w:t>
      </w:r>
      <w:r>
        <w:rPr/>
        <w:t>Supply, Inc.</w:t>
        <w:tab/>
      </w:r>
      <w:hyperlink r:id="rId15">
        <w:r>
          <w:rPr>
            <w:color w:val="0000FF"/>
            <w:spacing w:val="-1"/>
            <w:u w:val="single" w:color="0000FF"/>
          </w:rPr>
          <w:t>michael.nugent@igs.com</w:t>
        </w:r>
      </w:hyperlink>
      <w:r>
        <w:rPr>
          <w:color w:val="0000FF"/>
          <w:spacing w:val="-1"/>
        </w:rPr>
        <w:t> </w:t>
      </w:r>
      <w:hyperlink r:id="rId16">
        <w:r>
          <w:rPr>
            <w:color w:val="0000FF"/>
            <w:u w:val="single" w:color="0000FF"/>
          </w:rPr>
          <w:t>evan.betterton@igs.com</w:t>
        </w:r>
      </w:hyperlink>
      <w:r>
        <w:rPr>
          <w:color w:val="0000FF"/>
        </w:rPr>
        <w:t> </w:t>
      </w:r>
      <w:hyperlink r:id="rId17">
        <w:r>
          <w:rPr>
            <w:color w:val="0000FF"/>
            <w:u w:val="single" w:color="0000FF"/>
          </w:rPr>
          <w:t>stacie.cathcart@igs.com</w:t>
        </w:r>
      </w:hyperlink>
    </w:p>
    <w:p>
      <w:pPr>
        <w:pStyle w:val="BodyText"/>
        <w:spacing w:before="2"/>
        <w:rPr>
          <w:sz w:val="16"/>
        </w:rPr>
      </w:pPr>
    </w:p>
    <w:p>
      <w:pPr>
        <w:pStyle w:val="BodyText"/>
        <w:tabs>
          <w:tab w:pos="5245" w:val="left" w:leader="none"/>
        </w:tabs>
        <w:spacing w:before="90"/>
        <w:ind w:left="5245" w:right="1333" w:hanging="5038"/>
        <w:jc w:val="both"/>
      </w:pPr>
      <w:r>
        <w:rPr/>
        <w:t>Ohio</w:t>
      </w:r>
      <w:r>
        <w:rPr>
          <w:spacing w:val="-1"/>
        </w:rPr>
        <w:t> </w:t>
      </w:r>
      <w:r>
        <w:rPr/>
        <w:t>Consumers’</w:t>
      </w:r>
      <w:r>
        <w:rPr>
          <w:spacing w:val="-2"/>
        </w:rPr>
        <w:t> </w:t>
      </w:r>
      <w:r>
        <w:rPr/>
        <w:t>Counsel</w:t>
        <w:tab/>
      </w:r>
      <w:hyperlink r:id="rId18">
        <w:r>
          <w:rPr>
            <w:color w:val="0000FF"/>
            <w:u w:val="single" w:color="0000FF"/>
          </w:rPr>
          <w:t>william.michael@occ.ohio.gov</w:t>
        </w:r>
      </w:hyperlink>
      <w:r>
        <w:rPr>
          <w:color w:val="0000FF"/>
        </w:rPr>
        <w:t> </w:t>
      </w:r>
      <w:hyperlink r:id="rId19">
        <w:r>
          <w:rPr>
            <w:color w:val="0000FF"/>
            <w:spacing w:val="-1"/>
            <w:u w:val="single" w:color="0000FF"/>
          </w:rPr>
          <w:t>ambrosia.wilson@occ.ohio.gov</w:t>
        </w:r>
      </w:hyperlink>
      <w:r>
        <w:rPr>
          <w:color w:val="0000FF"/>
          <w:spacing w:val="-1"/>
        </w:rPr>
        <w:t> </w:t>
      </w:r>
      <w:hyperlink r:id="rId20">
        <w:r>
          <w:rPr>
            <w:color w:val="0000FF"/>
            <w:u w:val="single" w:color="0000FF"/>
          </w:rPr>
          <w:t>connor.semple@occ.ohio.gov</w:t>
        </w:r>
      </w:hyperlink>
    </w:p>
    <w:p>
      <w:pPr>
        <w:pStyle w:val="BodyText"/>
        <w:spacing w:before="2"/>
        <w:rPr>
          <w:sz w:val="16"/>
        </w:rPr>
      </w:pPr>
    </w:p>
    <w:p>
      <w:pPr>
        <w:pStyle w:val="BodyText"/>
        <w:tabs>
          <w:tab w:pos="5245" w:val="left" w:leader="none"/>
        </w:tabs>
        <w:spacing w:before="90"/>
        <w:ind w:left="5245" w:right="1411" w:hanging="5038"/>
      </w:pPr>
      <w:r>
        <w:rPr/>
        <w:t>Ohio</w:t>
      </w:r>
      <w:r>
        <w:rPr>
          <w:spacing w:val="-1"/>
        </w:rPr>
        <w:t> </w:t>
      </w:r>
      <w:r>
        <w:rPr/>
        <w:t>Energy</w:t>
      </w:r>
      <w:r>
        <w:rPr>
          <w:spacing w:val="-5"/>
        </w:rPr>
        <w:t> </w:t>
      </w:r>
      <w:r>
        <w:rPr/>
        <w:t>Group</w:t>
        <w:tab/>
      </w:r>
      <w:hyperlink r:id="rId21">
        <w:r>
          <w:rPr>
            <w:color w:val="0000FF"/>
            <w:u w:val="single" w:color="0000FF"/>
          </w:rPr>
          <w:t>mkurtz@BKLlawfirm.com</w:t>
        </w:r>
      </w:hyperlink>
      <w:r>
        <w:rPr>
          <w:color w:val="0000FF"/>
        </w:rPr>
        <w:t> </w:t>
      </w:r>
      <w:hyperlink r:id="rId22">
        <w:r>
          <w:rPr>
            <w:color w:val="0000FF"/>
            <w:u w:val="single" w:color="0000FF"/>
          </w:rPr>
          <w:t>kboehm@BKLlawfirm.com</w:t>
        </w:r>
      </w:hyperlink>
      <w:r>
        <w:rPr>
          <w:color w:val="0000FF"/>
        </w:rPr>
        <w:t> </w:t>
      </w:r>
      <w:hyperlink r:id="rId23">
        <w:r>
          <w:rPr>
            <w:color w:val="0000FF"/>
            <w:spacing w:val="-1"/>
            <w:u w:val="single" w:color="0000FF"/>
          </w:rPr>
          <w:t>jkylercohn@BKLlawfirm.com</w:t>
        </w:r>
      </w:hyperlink>
    </w:p>
    <w:p>
      <w:pPr>
        <w:pStyle w:val="BodyText"/>
        <w:spacing w:before="2"/>
        <w:rPr>
          <w:sz w:val="16"/>
        </w:rPr>
      </w:pPr>
    </w:p>
    <w:p>
      <w:pPr>
        <w:pStyle w:val="BodyText"/>
        <w:tabs>
          <w:tab w:pos="5245" w:val="left" w:leader="none"/>
        </w:tabs>
        <w:spacing w:before="90"/>
        <w:ind w:left="207"/>
      </w:pPr>
      <w:r>
        <w:rPr/>
        <w:t>Staff of the Public Utilities Commission</w:t>
      </w:r>
      <w:r>
        <w:rPr>
          <w:spacing w:val="-9"/>
        </w:rPr>
        <w:t> </w:t>
      </w:r>
      <w:r>
        <w:rPr/>
        <w:t>of</w:t>
      </w:r>
      <w:r>
        <w:rPr>
          <w:spacing w:val="-2"/>
        </w:rPr>
        <w:t> </w:t>
      </w:r>
      <w:r>
        <w:rPr/>
        <w:t>Ohio</w:t>
        <w:tab/>
      </w:r>
      <w:hyperlink r:id="rId24">
        <w:r>
          <w:rPr>
            <w:color w:val="0000FF"/>
            <w:u w:val="single" w:color="0000FF"/>
          </w:rPr>
          <w:t>thomas.lindgren@OhioAGO.gov</w:t>
        </w:r>
      </w:hyperlink>
    </w:p>
    <w:p>
      <w:pPr>
        <w:pStyle w:val="BodyText"/>
        <w:ind w:left="5245" w:right="1241"/>
      </w:pPr>
      <w:hyperlink r:id="rId25">
        <w:r>
          <w:rPr>
            <w:color w:val="0000FF"/>
            <w:u w:val="single" w:color="0000FF"/>
          </w:rPr>
          <w:t>robert.eubanks@OhioAGO.gov</w:t>
        </w:r>
      </w:hyperlink>
      <w:r>
        <w:rPr>
          <w:color w:val="0000FF"/>
        </w:rPr>
        <w:t> </w:t>
      </w:r>
      <w:hyperlink r:id="rId26">
        <w:r>
          <w:rPr>
            <w:color w:val="0000FF"/>
            <w:u w:val="single" w:color="0000FF"/>
          </w:rPr>
          <w:t>sarah.feldkamp@OhioAGO.gov</w:t>
        </w:r>
      </w:hyperlink>
    </w:p>
    <w:p>
      <w:pPr>
        <w:pStyle w:val="BodyText"/>
        <w:rPr>
          <w:sz w:val="20"/>
        </w:rPr>
      </w:pPr>
    </w:p>
    <w:p>
      <w:pPr>
        <w:pStyle w:val="BodyText"/>
        <w:spacing w:before="2"/>
        <w:rPr>
          <w:sz w:val="20"/>
        </w:rPr>
      </w:pPr>
    </w:p>
    <w:p>
      <w:pPr>
        <w:pStyle w:val="BodyText"/>
        <w:tabs>
          <w:tab w:pos="9459" w:val="left" w:leader="none"/>
        </w:tabs>
        <w:spacing w:before="90"/>
        <w:ind w:left="4420" w:right="158"/>
      </w:pPr>
      <w:r>
        <w:rPr>
          <w:u w:val="single"/>
        </w:rPr>
        <w:t>/s/ Gretchen</w:t>
      </w:r>
      <w:r>
        <w:rPr>
          <w:spacing w:val="-7"/>
          <w:u w:val="single"/>
        </w:rPr>
        <w:t> </w:t>
      </w:r>
      <w:r>
        <w:rPr>
          <w:u w:val="single"/>
        </w:rPr>
        <w:t>L.</w:t>
      </w:r>
      <w:r>
        <w:rPr>
          <w:spacing w:val="-4"/>
          <w:u w:val="single"/>
        </w:rPr>
        <w:t> </w:t>
      </w:r>
      <w:r>
        <w:rPr>
          <w:u w:val="single"/>
        </w:rPr>
        <w:t>Petrucci</w:t>
        <w:tab/>
      </w:r>
      <w:r>
        <w:rPr/>
        <w:t> Gretchen L.</w:t>
      </w:r>
      <w:r>
        <w:rPr>
          <w:spacing w:val="3"/>
        </w:rPr>
        <w:t> </w:t>
      </w:r>
      <w:r>
        <w:rPr/>
        <w:t>Petrucci</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2"/>
        </w:rPr>
      </w:pPr>
    </w:p>
    <w:p>
      <w:pPr>
        <w:pStyle w:val="BodyText"/>
        <w:ind w:right="59"/>
        <w:jc w:val="center"/>
      </w:pPr>
      <w:r>
        <w:rPr/>
        <w:t>5</w:t>
      </w:r>
    </w:p>
    <w:p>
      <w:pPr>
        <w:spacing w:before="26"/>
        <w:ind w:left="100" w:right="0" w:firstLine="0"/>
        <w:jc w:val="left"/>
        <w:rPr>
          <w:sz w:val="14"/>
        </w:rPr>
      </w:pPr>
      <w:r>
        <w:rPr>
          <w:color w:val="FF0000"/>
          <w:sz w:val="14"/>
        </w:rPr>
        <w:t>11/28/2022 43711475</w:t>
      </w:r>
    </w:p>
    <w:p>
      <w:pPr>
        <w:spacing w:after="0"/>
        <w:jc w:val="left"/>
        <w:rPr>
          <w:sz w:val="14"/>
        </w:rPr>
        <w:sectPr>
          <w:footerReference w:type="default" r:id="rId9"/>
          <w:pgSz w:w="12240" w:h="15840"/>
          <w:pgMar w:footer="0" w:header="0" w:top="1220" w:bottom="280" w:left="1340" w:right="128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2"/>
        </w:rPr>
      </w:pPr>
    </w:p>
    <w:p>
      <w:pPr>
        <w:pStyle w:val="Heading1"/>
        <w:spacing w:line="444" w:lineRule="auto" w:before="92"/>
        <w:ind w:right="525"/>
        <w:rPr>
          <w:rFonts w:ascii="Arial"/>
        </w:rPr>
      </w:pPr>
      <w:r>
        <w:rPr>
          <w:rFonts w:ascii="Arial"/>
        </w:rPr>
        <w:t>This foregoing document was electronically filed with the Public Utilities Commission of Ohio Docketing Information System on</w:t>
      </w:r>
    </w:p>
    <w:p>
      <w:pPr>
        <w:spacing w:line="275" w:lineRule="exact" w:before="0"/>
        <w:ind w:left="100" w:right="0" w:firstLine="0"/>
        <w:jc w:val="left"/>
        <w:rPr>
          <w:rFonts w:ascii="Arial"/>
          <w:b/>
          <w:sz w:val="24"/>
        </w:rPr>
      </w:pPr>
      <w:r>
        <w:rPr>
          <w:rFonts w:ascii="Arial"/>
          <w:b/>
          <w:sz w:val="24"/>
        </w:rPr>
        <w:t>11/28/2022 10:30:05 AM</w:t>
      </w:r>
    </w:p>
    <w:p>
      <w:pPr>
        <w:pStyle w:val="BodyText"/>
        <w:spacing w:before="4"/>
        <w:rPr>
          <w:rFonts w:ascii="Arial"/>
          <w:b/>
          <w:sz w:val="20"/>
        </w:rPr>
      </w:pPr>
    </w:p>
    <w:p>
      <w:pPr>
        <w:spacing w:before="0"/>
        <w:ind w:left="100" w:right="0" w:firstLine="0"/>
        <w:jc w:val="left"/>
        <w:rPr>
          <w:rFonts w:ascii="Arial"/>
          <w:b/>
          <w:sz w:val="24"/>
        </w:rPr>
      </w:pPr>
      <w:r>
        <w:rPr>
          <w:rFonts w:ascii="Arial"/>
          <w:b/>
          <w:sz w:val="24"/>
        </w:rPr>
        <w:t>in</w:t>
      </w:r>
    </w:p>
    <w:p>
      <w:pPr>
        <w:pStyle w:val="BodyText"/>
        <w:spacing w:before="9"/>
        <w:rPr>
          <w:rFonts w:ascii="Arial"/>
          <w:b/>
          <w:sz w:val="20"/>
        </w:rPr>
      </w:pPr>
    </w:p>
    <w:p>
      <w:pPr>
        <w:spacing w:line="235" w:lineRule="auto" w:before="0"/>
        <w:ind w:left="100" w:right="17" w:firstLine="0"/>
        <w:jc w:val="left"/>
        <w:rPr>
          <w:rFonts w:ascii="Arial"/>
          <w:b/>
          <w:sz w:val="24"/>
        </w:rPr>
      </w:pPr>
      <w:r>
        <w:rPr>
          <w:rFonts w:ascii="Arial"/>
          <w:b/>
          <w:sz w:val="24"/>
        </w:rPr>
        <w:t>Case No(s). 22-0507-GA-AIR, 22-0508-GA-ALT, 22-0509-GA-ATA, 22-0510-GA- AAM</w:t>
      </w:r>
    </w:p>
    <w:p>
      <w:pPr>
        <w:pStyle w:val="BodyText"/>
        <w:spacing w:before="9"/>
        <w:rPr>
          <w:rFonts w:ascii="Arial"/>
          <w:b/>
          <w:sz w:val="20"/>
        </w:rPr>
      </w:pPr>
    </w:p>
    <w:p>
      <w:pPr>
        <w:pStyle w:val="BodyText"/>
        <w:spacing w:line="235" w:lineRule="auto"/>
        <w:ind w:left="100" w:right="109"/>
        <w:rPr>
          <w:rFonts w:ascii="Arial"/>
        </w:rPr>
      </w:pPr>
      <w:r>
        <w:rPr>
          <w:rFonts w:ascii="Arial"/>
        </w:rPr>
        <w:t>Summary: Motion to Intervene and Memorandum in Support electronically filed by Mrs. Gretchen L. Petrucci on behalf of Retail Energy Supply Association</w:t>
      </w:r>
    </w:p>
    <w:sectPr>
      <w:footerReference w:type="default" r:id="rId27"/>
      <w:pgSz w:w="11920" w:h="16840"/>
      <w:pgMar w:footer="0" w:header="0" w:top="1580" w:bottom="280" w:left="1420" w:right="1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sto MT">
    <w:altName w:val="Calisto MT"/>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pt;margin-top:741.436646pt;width:12pt;height:15.3pt;mso-position-horizontal-relative:page;mso-position-vertical-relative:page;z-index:-251876352" type="#_x0000_t202" filled="false" stroked="false">
          <v:textbox inset="0,0,0,0">
            <w:txbxContent>
              <w:p>
                <w:pPr>
                  <w:pStyle w:val="BodyText"/>
                  <w:spacing w:before="10"/>
                  <w:ind w:left="60"/>
                </w:pPr>
                <w:r>
                  <w:rPr/>
                  <w:fldChar w:fldCharType="begin"/>
                </w:r>
                <w:r>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00"/>
      <w:outlineLvl w:val="1"/>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http://www.resausa.org/" TargetMode="External"/><Relationship Id="rId7" Type="http://schemas.openxmlformats.org/officeDocument/2006/relationships/hyperlink" Target="mailto:mjsettineri@vorys.com" TargetMode="External"/><Relationship Id="rId8" Type="http://schemas.openxmlformats.org/officeDocument/2006/relationships/hyperlink" Target="mailto:glpetrucci@vorys.com" TargetMode="External"/><Relationship Id="rId9" Type="http://schemas.openxmlformats.org/officeDocument/2006/relationships/footer" Target="footer2.xml"/><Relationship Id="rId10" Type="http://schemas.openxmlformats.org/officeDocument/2006/relationships/hyperlink" Target="mailto:rocco.dascenzo@duke-energy.com" TargetMode="External"/><Relationship Id="rId11" Type="http://schemas.openxmlformats.org/officeDocument/2006/relationships/hyperlink" Target="mailto:jeanne.kingery@duke-energy.com" TargetMode="External"/><Relationship Id="rId12" Type="http://schemas.openxmlformats.org/officeDocument/2006/relationships/hyperlink" Target="mailto:larisa.vaysman@duke-energy.com" TargetMode="External"/><Relationship Id="rId13" Type="http://schemas.openxmlformats.org/officeDocument/2006/relationships/hyperlink" Target="mailto:elyse.akhbari@duke-energy.com" TargetMode="External"/><Relationship Id="rId14" Type="http://schemas.openxmlformats.org/officeDocument/2006/relationships/hyperlink" Target="mailto:ebrama@taftlaw.com" TargetMode="External"/><Relationship Id="rId15" Type="http://schemas.openxmlformats.org/officeDocument/2006/relationships/hyperlink" Target="mailto:michael.nugent@igs.com" TargetMode="External"/><Relationship Id="rId16" Type="http://schemas.openxmlformats.org/officeDocument/2006/relationships/hyperlink" Target="mailto:evan.betterton@igs.com" TargetMode="External"/><Relationship Id="rId17" Type="http://schemas.openxmlformats.org/officeDocument/2006/relationships/hyperlink" Target="mailto:stacie.cathcart@igs.com" TargetMode="External"/><Relationship Id="rId18" Type="http://schemas.openxmlformats.org/officeDocument/2006/relationships/hyperlink" Target="mailto:william.michael@occ.ohio.gov" TargetMode="External"/><Relationship Id="rId19" Type="http://schemas.openxmlformats.org/officeDocument/2006/relationships/hyperlink" Target="mailto:ambrosia.wilson@occ.ohio.gov" TargetMode="External"/><Relationship Id="rId20" Type="http://schemas.openxmlformats.org/officeDocument/2006/relationships/hyperlink" Target="mailto:connor.semple@occ.ohio.gov" TargetMode="External"/><Relationship Id="rId21" Type="http://schemas.openxmlformats.org/officeDocument/2006/relationships/hyperlink" Target="mailto:mkurtz@BKLlawfirm.com" TargetMode="External"/><Relationship Id="rId22" Type="http://schemas.openxmlformats.org/officeDocument/2006/relationships/hyperlink" Target="mailto:kboehm@BKLlawfirm.com" TargetMode="External"/><Relationship Id="rId23" Type="http://schemas.openxmlformats.org/officeDocument/2006/relationships/hyperlink" Target="mailto:jkylercohn@BKLlawfirm.com" TargetMode="External"/><Relationship Id="rId24" Type="http://schemas.openxmlformats.org/officeDocument/2006/relationships/hyperlink" Target="mailto:thomas.lindgren@OhioAGO.gov" TargetMode="External"/><Relationship Id="rId25" Type="http://schemas.openxmlformats.org/officeDocument/2006/relationships/hyperlink" Target="mailto:robert.eubanks@OhioAGO.gov" TargetMode="External"/><Relationship Id="rId26" Type="http://schemas.openxmlformats.org/officeDocument/2006/relationships/hyperlink" Target="mailto:sarah.feldkamp@OhioAGO.gov" TargetMode="Externa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2022-11-29T20:42:09Z</dcterms:created>
  <dcterms:modified xsi:type="dcterms:W3CDTF">2022-11-29T20:42:09Z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2022-11-28T00:00:00Z</vt:filetime>
  </property>
  <property fmtid="{D5CDD505-2E9C-101B-9397-08002B2CF9AE}" pid="3" name="Creator">
    <vt:lpwstr>Aspose Ltd.</vt:lpwstr>
  </property>
  <property fmtid="{D5CDD505-2E9C-101B-9397-08002B2CF9AE}" pid="4" name="LastSaved">
    <vt:filetime>2022-11-29T00:00:00Z</vt:filetime>
  </property>
</Properties>
</file>